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 encoding="UTF-8"?><Relationships xmlns="http://schemas.openxmlformats.org/package/2006/relationships"><Relationship Target="word/document.xml" Id="pkgRId0" Type="http://schemas.openxmlformats.org/officeDocument/2006/relationships/officeDocument" /></Relationships>
</file>

<file path=word/document.xml><?xml version="1.0" encoding="utf-8"?>
<w:document xmlns:w="http://schemas.openxmlformats.org/wordprocessingml/2006/main">
  <w:body>
    <w:p>
      <w:pPr>
        <w:spacing w:before="0" w:after="4" w:line="248"/>
        <w:ind w:right="7" w:left="0" w:firstLine="0"/>
        <w:jc w:val="both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                  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Министерство иностранных дел российской Федерации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Специализированное структурное образовательное подразделение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Посольства России в Мексике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auto" w:val="clear"/>
        </w:rPr>
        <w:t xml:space="preserve">общеобразовательная школа при Посольстве России в Мексике</w:t>
      </w:r>
    </w:p>
    <w:p>
      <w:pPr>
        <w:spacing w:before="24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</w:p>
    <w:tbl>
      <w:tblPr/>
      <w:tblGrid>
        <w:gridCol w:w="2500"/>
        <w:gridCol w:w="2329"/>
        <w:gridCol w:w="2489"/>
        <w:gridCol w:w="2536"/>
      </w:tblGrid>
      <w:tr>
        <w:trPr>
          <w:trHeight w:val="1" w:hRule="atLeast"/>
          <w:jc w:val="left"/>
        </w:trPr>
        <w:tc>
          <w:tcPr>
            <w:tcW w:w="2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РАССМОТРЕНО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 заседании ШМО 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учителей начальных классов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                                  Протокол </w:t>
            </w:r>
            <w:r>
              <w:rPr>
                <w:rFonts w:ascii="Segoe UI Symbol" w:hAnsi="Segoe UI Symbol" w:cs="Segoe UI Symbol" w:eastAsia="Segoe UI Symbol"/>
                <w:color w:val="auto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1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от 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 28 »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августа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2024 г. </w:t>
            </w:r>
          </w:p>
        </w:tc>
        <w:tc>
          <w:tcPr>
            <w:tcW w:w="23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СОГЛАСОВАНО:</w:t>
            </w:r>
          </w:p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заместитель</w:t>
            </w:r>
          </w:p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директора</w:t>
            </w:r>
          </w:p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по УВР</w:t>
            </w:r>
          </w:p>
          <w:p>
            <w:pPr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</w:p>
        </w:tc>
        <w:tc>
          <w:tcPr>
            <w:tcW w:w="24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ПРИНЯТО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на заседании 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педагогического совета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</w:p>
        </w:tc>
        <w:tc>
          <w:tcPr>
            <w:tcW w:w="25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УТВЕРЖДЕНО                                                                 Приказом по Посольству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России в Мексике</w:t>
            </w:r>
          </w:p>
        </w:tc>
      </w:tr>
      <w:tr>
        <w:trPr>
          <w:trHeight w:val="1" w:hRule="atLeast"/>
          <w:jc w:val="left"/>
        </w:trPr>
        <w:tc>
          <w:tcPr>
            <w:tcW w:w="2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Руководитель ШМО                           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О.А. Якименко</w:t>
            </w:r>
          </w:p>
        </w:tc>
        <w:tc>
          <w:tcPr>
            <w:tcW w:w="23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С.В.Сафронов</w:t>
            </w:r>
          </w:p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_________________</w:t>
            </w:r>
          </w:p>
        </w:tc>
        <w:tc>
          <w:tcPr>
            <w:tcW w:w="24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Протокол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1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от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29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»_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u w:val="single"/>
                <w:shd w:fill="auto" w:val="clear"/>
              </w:rPr>
              <w:t xml:space="preserve">августа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2024г.</w:t>
            </w:r>
          </w:p>
        </w:tc>
        <w:tc>
          <w:tcPr>
            <w:tcW w:w="25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4" w:line="248"/>
              <w:ind w:right="7" w:left="0" w:firstLine="0"/>
              <w:jc w:val="left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     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Приказ </w:t>
            </w:r>
            <w:r>
              <w:rPr>
                <w:rFonts w:ascii="Segoe UI Symbol" w:hAnsi="Segoe UI Symbol" w:cs="Segoe UI Symbol" w:eastAsia="Segoe UI Symbol"/>
                <w:color w:val="000000"/>
                <w:spacing w:val="0"/>
                <w:position w:val="0"/>
                <w:sz w:val="20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207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от</w:t>
            </w:r>
          </w:p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  « 30 » </w:t>
            </w: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августа 2024 г.</w:t>
            </w:r>
          </w:p>
        </w:tc>
      </w:tr>
      <w:tr>
        <w:trPr>
          <w:trHeight w:val="1" w:hRule="atLeast"/>
          <w:jc w:val="left"/>
        </w:trPr>
        <w:tc>
          <w:tcPr>
            <w:tcW w:w="2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         _____________</w:t>
            </w:r>
          </w:p>
        </w:tc>
        <w:tc>
          <w:tcPr>
            <w:tcW w:w="23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4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4" w:line="248"/>
              <w:ind w:right="7" w:left="61" w:hanging="3"/>
              <w:jc w:val="both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1" w:hRule="atLeast"/>
          <w:jc w:val="left"/>
        </w:trPr>
        <w:tc>
          <w:tcPr>
            <w:tcW w:w="2500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августа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2024г.</w:t>
            </w:r>
          </w:p>
        </w:tc>
        <w:tc>
          <w:tcPr>
            <w:tcW w:w="232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 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28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»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u w:val="single"/>
                <w:shd w:fill="auto" w:val="clear"/>
              </w:rPr>
              <w:t xml:space="preserve">августа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0"/>
                <w:shd w:fill="auto" w:val="clear"/>
              </w:rPr>
              <w:t xml:space="preserve">2024г.</w:t>
            </w:r>
          </w:p>
        </w:tc>
        <w:tc>
          <w:tcPr>
            <w:tcW w:w="2489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4" w:line="248"/>
              <w:ind w:right="7" w:left="61" w:hanging="3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536" w:type="dxa"/>
            <w:tcBorders>
              <w:top w:val="single" w:color="000000" w:sz="0"/>
              <w:left w:val="single" w:color="000000" w:sz="0"/>
              <w:bottom w:val="single" w:color="000000" w:sz="0"/>
              <w:right w:val="single" w:color="000000" w:sz="0"/>
            </w:tcBorders>
            <w:shd w:color="000000" w:fill="ffffff" w:val="clear"/>
            <w:tcMar>
              <w:left w:w="108" w:type="dxa"/>
              <w:right w:w="108" w:type="dxa"/>
            </w:tcMar>
            <w:vAlign w:val="top"/>
          </w:tcPr>
          <w:p>
            <w:pPr>
              <w:suppressAutoHyphens w:val="true"/>
              <w:spacing w:before="0" w:after="4" w:line="248"/>
              <w:ind w:right="7" w:left="61" w:hanging="3"/>
              <w:jc w:val="center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160" w:line="259"/>
        <w:ind w:right="0" w:left="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auto" w:val="clear"/>
        </w:rPr>
        <w:t xml:space="preserve">РАБОЧАЯ ПРОГРАММА   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 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на 2024-2025 учебный год                                                                                                                                                                                                                                      по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изобразительному искусству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                                                                                                                                                                                            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для 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u w:val="single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auto" w:val="clear"/>
        </w:rPr>
        <w:t xml:space="preserve"> класса 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auto" w:val="clear"/>
        </w:rPr>
      </w:pP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Уровень  обучения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  <w:t xml:space="preserve">_______ начальное общее образование _____________________________ 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                                   (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начальное общее,  основное общее, среднее  общее образование с указанием классов)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Общее количество часов 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  <w:t xml:space="preserve">__34___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Количество часов в неделю 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  <w:t xml:space="preserve">__1____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    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auto" w:val="clear"/>
        </w:rPr>
        <w:t xml:space="preserve">Уровень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auto" w:val="clear"/>
        </w:rPr>
        <w:t xml:space="preserve">______________БАЗОВЫЙ___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Учитель   Лядова Э.В.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                                                                              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Квалификационная категория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первая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</w:pP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shd w:fill="FFFFFF" w:val="clear"/>
        </w:rPr>
        <w:t xml:space="preserve">Учебник, автор, издательство, год издания     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Учебник Л.А. Неменская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Изобразительное искусство. 1 класс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»;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4"/>
          <w:u w:val="single"/>
          <w:shd w:fill="FFFFFF" w:val="clear"/>
        </w:rPr>
        <w:t xml:space="preserve">под редакцией Б.М.Неменского.- М.: Просвещение, 2024г.</w:t>
      </w:r>
    </w:p>
    <w:p>
      <w:pPr>
        <w:spacing w:before="0" w:after="4" w:line="248"/>
        <w:ind w:right="7" w:left="61" w:hanging="3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u w:val="single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-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МЕХИКО-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  <w:t xml:space="preserve">2024</w:t>
      </w: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2"/>
          <w:shd w:fill="FFFFFF" w:val="clear"/>
        </w:rPr>
      </w:pPr>
    </w:p>
    <w:p>
      <w:pPr>
        <w:spacing w:before="0" w:after="4" w:line="248"/>
        <w:ind w:right="7" w:left="61" w:hanging="3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2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  <w:t xml:space="preserve">Пояснительная записка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 </w:t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Рабочая программа по изобразительному искусству на уровне начального общего образования составлена на основе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Требований к результатам освоения основной образовательной программы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представленных в Федеральном государственном образовательном стандарте начального общего образования.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  <w:tab/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Содержание программы распределено по модулям с учётом проверяемых требований к результатам освоения учебного предмета, выносимым на промежуточную аттестацию.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Цель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преподавания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состоит в формировании художественной культуры учащихся,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учащихся.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Преподавание предмета направлено на развитие духовной культуры учащихся,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Содержание предмета охватывает все основные вида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 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Для учащихся начальной школы большое значение также имеет восприятие произведений детского творчества, умение обсуждать и анализировать детские рисунки с позиций выраженного в них содержания, художественных средств выразительности, соответствия учебной задачи, поставленной учителем. Такая рефлексия детского творчества имеет позитивный обучающий характер.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Важнейшей задачей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 занятиях учащиеся знакомятся с многообразием видов художественной деятельности и технически доступным разнообразием художественных материалов. Практическая художественно-творческая деятельность занимает приоритетное пространство учебного времени. При опоре на восприятие произведений искусства художественно-эстетическое отношение к миру,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Рабочая программа учитывает психолого-возрастные особенности развития детей 7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лет, при этом содержание занятий может быть адаптировано с учётом индивидуальных качеств обучающихся, как для детей, проявляющих выдающиеся способности, так и для детей-инвалидов и детей с ОВЗ.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урочное время деятельность обучающихся организуется как в индивидуальном, так и в групповом формате с задачей формирования навыков сотрудничества в художественной деятельности.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Общая характеристика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4"/>
          <w:shd w:fill="FFFFFF" w:val="clear"/>
        </w:rPr>
      </w:pP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Изобразительное искусство как школьная дисциплина имеет интегративный характер, так как она включает в себя основы разных видов визуально-пространственных искусств: живопись, графику, скульптуру, дизайн, архитектуру, народное и декоративно-прикладное искусство, изображение в зрелищных и экранных искусствах. Они изучаются в контексте взаимодействия с другими, то есть временными и синтетическими, искусствами. Систематизирующим методом является выделение трех основных видов художественной деятельности для визуальных пространственных искусств: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изобразительная художественная деятельность;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декоративная художественная деятельность;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конструктивная художественная деятельность. Три способа художественного освоения действительности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изобразительный, декоративный и конструктивный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FFFFFF" w:val="clear"/>
        </w:rPr>
        <w:t xml:space="preserve">в начальной школе выступают для детей в качестве хорошо им понятных, интересных и доступных видов художественной деятельности: изображение, украшение, постройка. Постоянное практическое участие школьников в этих трех видах деятельности позволяет систематически приобщать их к миру искусства. Необходимо иметь в виду, что в начальной школе три вида художественной деятельности представлены в игровой форме как Братья-Мастера Изображения, Украшения и Постройки. Они помогают вначале структурно членить, а значит, и понимать деятельность искусств в окружающей жизни, более глубоко осознавать искусство.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МЕСТО УЧЕБНОГО ПРЕДМЕТА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 УЧЕБНОМ ПЛАНЕ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соответствии с Федеральным государственным образовательным стандартом начального общего образования учебный предмет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входит в предметную область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 является обязательным для изучения. Содержание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структурировано как система тематических модулей и входит в учебный план 1-4 классов программы начального общего образования в объёме 1 ч одного учебного часа в неделю. Изучение содержания всех модулей в 1-4 классах обязательно.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 этом предусматривается возможность реализации этого курса при выделении на его изучение двух учебных часов в неделю за счёт вариативной части учебного плана, определяемой участниками образовательного процесса. При этом предполагается не увеличение количества тем для изучения, а увеличение времени на практическую художественную деятельность. Это способствует качеству обучения и достижению более высокого уровня как предметных, так и личностных и метапредметных результатов обучения.</w:t>
      </w:r>
    </w:p>
    <w:p>
      <w:pPr>
        <w:spacing w:before="0" w:after="0" w:line="240"/>
        <w:ind w:right="0" w:left="0" w:firstLine="708"/>
        <w:jc w:val="left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Общее число часов, отведённых на изучение учебного предмета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Изобразительное искусство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»  - 135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 (один час в неделю в каждом классе):</w:t>
        <w:br/>
        <w:t xml:space="preserve">1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33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ч,  2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ч,  3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ч, 4 класс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 34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auto" w:val="clear"/>
        </w:rPr>
        <w:t xml:space="preserve">ч.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  <w:t xml:space="preserve">СОДЕРЖАНИЕ УЧЕБНОГО ПРЕДМЕТА, КУРСА</w:t>
      </w: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  <w:t xml:space="preserve">1 </w:t>
      </w: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  <w:t xml:space="preserve">КЛАСС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Графика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Разные виды линий. Линейный рисунок. Графические материалы для линейного рисунка и их особенности. Приёмы рисования линией.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Рисование с натуры: разные листья и их форма.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Представление о пропорциях: короткое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длинное. Развитие навыка видения соотношения частей целого (на основе рисунков животных).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Графическое пятно (ахроматическое) и представление о силуэте. Формирование навыка видения целостности. Цельная форма и её части.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Живопись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Цвет как одно из главных средств выражения в изобразительном искусстве. Навыки работы гуашью в условиях урока. Краски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гуашь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»,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кисти, бумага цветная и белая.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Три основных цвета. Ассоциативные представления, связанные с каждым цветом. Навыки смешения красок и получение нового цвета.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Эмоциональная выразительность цвета, способы выражение настроения в изображаемом сюжете.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Тематическая композиция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Времена года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».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Контрастные цветовые состояния времён года. Живопись (гуашь), аппликация или смешанная техника.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Техника монотипии. Представления о симметрии. Развитие воображения.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Скульптура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Изображение в объёме. Приёмы работы с пластилином; дощечка, стек, тряпочка.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Лепка зверушек из цельной формы (черепашки, ёжика, зайчика, птички и др.). Приёмы вытягивания, вдавливания, сгибания, скручивания.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Бумажная пластика. Овладение первичными приёмами над- резания, закручивания, складывания.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Объёмная аппликация из бумаги и картона.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Декоративно-прикладное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Дизайн предмета: изготовление нарядной упаковки путём складывания бумаги и аппликации.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Оригами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создание игрушки для новогодней ёлки. Приёмы складывания бумаги.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Архитектура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Макетирование (или аппликация) пространственной среды сказочного города из бумаги, картона или пластилина.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Восприятие произведений искусства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Восприятие произведений детского творчества. Обсуждение сюжетного и эмоционального содержания детских работ.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Рассматривание иллюстраций детской книги на основе содержательных установок учителя в соответствии с изучаемой темой.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Художник и зритель. Освоение зрительских умений на основе получаемых знаний и творческих практических задач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установок наблюдения. Ассоциации из личного опыта учащихся и оценка эмоционального содержания произведений.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Азбука цифровой графики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Фотографирование мелких деталей природы, выражение ярких зрительных впечатлений.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Обсуждение в условиях урока ученических фотографий, соответствующих изучаемой теме.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15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center"/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</w:pPr>
    </w:p>
    <w:p>
      <w:pPr>
        <w:spacing w:before="0" w:after="150" w:line="240"/>
        <w:ind w:right="0" w:left="0" w:firstLine="0"/>
        <w:jc w:val="center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ПЛАНИРУЕМЫЕ РЕЗУЛЬТАТЫ ПРЕДМЕТА, КУРСА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Личностные результаты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Программа призвана обеспечить достижение обучающимися личностных результатов: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уважения и ценностного отношения к своей Родине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России;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духовно-нравственное развитие обучающихся;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мотивацию к познанию и обучению, готовность к саморазвитию и активному участию в социально-значимой деятельности;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позитивный опыт участия в творческой деятельности;</w:t>
      </w:r>
    </w:p>
    <w:p>
      <w:pPr>
        <w:numPr>
          <w:ilvl w:val="0"/>
          <w:numId w:val="5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Патриотическое воспитание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осуществляется через освоение школьниками содержания традиций отечественной культуры, выраженной в ее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Гражданское воспитание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Духовно-нравственное воспитание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Эстетическое воспитание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Ценности познавательной деятельности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Экологическое воспитание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 происходит в процессе художественно-эстетического наблюдения природы и ее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Трудовое воспитание 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обязательные требования к определенным заданиям по программе.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Метапредметные результаты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1.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 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Овладение универсальными познавательными действиями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Пространственные представления и сенсорные способности: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характеризовать форму предмета, конструкции;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выявлять доминантные черты (характерные особенности) в визуальном образе;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сравнивать плоскостные и пространственные объекты по заданным основаниям;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находить ассоциативные связи между визуальными образами разных форм и предметов;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сопоставлять части и целое в видимом образе, предмете, конструкции;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анализировать пропорциональные отношения частей внутри целого и предметов между собой;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обобщать форму составной конструкции;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выявлять и анализировать ритмические отношения в пространстве и в изображении (визуальном образе) на установленных основаниях;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абстрагировать образ реальности при построении плоской композиции;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соотносить тональные отношения (темное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светлое) в пространственных и плоскостных объектах;</w:t>
      </w:r>
    </w:p>
    <w:p>
      <w:pPr>
        <w:numPr>
          <w:ilvl w:val="0"/>
          <w:numId w:val="61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выявлять и анализировать эмоциональное воздействие цветовых отношений в пространственной среде и плоскостном изображении.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Базовые логические и исследовательские действия: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проявлять творческие экспериментальные действия в процессе самостоятельного выполнения художественных заданий;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проявлять исследовательские и аналитические действия на основе определенных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анализировать и оценивать с позиций эстетических категорий явления природы и предметно-пространственную среду жизни человека;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формулировать выводы, соответствующие эстетическим, аналитическим и другим учебным установкам по результатам проведенного наблюдения;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использовать знаково-символические средства для составления орнаментов и декоративных композиций;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классифицировать произведения искусства по видам и, соответственно, по назначению в жизни людей;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классифицировать произведения изобразительного искусства по жанрам в качестве инструмента анализа содержания произведений;</w:t>
      </w:r>
    </w:p>
    <w:p>
      <w:pPr>
        <w:numPr>
          <w:ilvl w:val="0"/>
          <w:numId w:val="63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ставить и использовать вопросы как исследовательский инструмент познания.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Работа с информацией: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использовать электронные образовательные ресурсы;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уметь работать с электронными учебниками и учебными пособиями;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самостоятельно готовить информацию на заданную или выбранную тему и представлять ее в различных видах: рисунках и эскизах, электронных презентациях;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>
      <w:pPr>
        <w:numPr>
          <w:ilvl w:val="0"/>
          <w:numId w:val="65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соблюдать правила информационной безопасности при работе в интернете.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2.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 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Овладение универсальными коммуникативными действиями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Обучающиеся должны овладеть следующими действиями: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понимать искусство в качестве особого языка общения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межличностного (автор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—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зритель), между поколениями, между народами;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находить общее решение и разрешать конфликты на основе общих позиций и учета интересов в процессе совместной художественной деятельности;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демонстрировать и объяснять результаты своего творческого, художественного или исследовательского опыта;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признавать свое и чужое право на ошибку, развивать свои способности сопереживать, понимать намерения и переживания свои и других людей;</w:t>
      </w:r>
    </w:p>
    <w:p>
      <w:pPr>
        <w:numPr>
          <w:ilvl w:val="0"/>
          <w:numId w:val="67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ее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3.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 </w:t>
      </w: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Овладение универсальными регулятивными действиями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Обучающиеся должны овладеть следующими действиями:</w:t>
      </w:r>
    </w:p>
    <w:p>
      <w:pPr>
        <w:numPr>
          <w:ilvl w:val="0"/>
          <w:numId w:val="6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внимательно относиться и выполнять учебные задачи, поставленные учителем;</w:t>
      </w:r>
    </w:p>
    <w:p>
      <w:pPr>
        <w:numPr>
          <w:ilvl w:val="0"/>
          <w:numId w:val="6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соблюдать последовательность учебных действий при выполнении задания;</w:t>
      </w:r>
    </w:p>
    <w:p>
      <w:pPr>
        <w:numPr>
          <w:ilvl w:val="0"/>
          <w:numId w:val="6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уметь организовывать свое рабочее место для практической работы, сохраняя порядок в окружающем пространстве и бережно относясь к используемым материалам;</w:t>
      </w:r>
    </w:p>
    <w:p>
      <w:pPr>
        <w:numPr>
          <w:ilvl w:val="0"/>
          <w:numId w:val="69"/>
        </w:numPr>
        <w:tabs>
          <w:tab w:val="left" w:pos="720" w:leader="none"/>
        </w:tabs>
        <w:spacing w:before="0" w:after="0" w:line="240"/>
        <w:ind w:right="0" w:left="270" w:hanging="36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результата. </w:t>
      </w:r>
    </w:p>
    <w:p>
      <w:pPr>
        <w:spacing w:before="0" w:after="150" w:line="240"/>
        <w:ind w:right="0" w:left="0" w:firstLine="0"/>
        <w:jc w:val="left"/>
        <w:rPr>
          <w:rFonts w:ascii="Times New Roman" w:hAnsi="Times New Roman" w:cs="Times New Roman" w:eastAsia="Times New Roman"/>
          <w:color w:val="222222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222222"/>
          <w:spacing w:val="0"/>
          <w:position w:val="0"/>
          <w:sz w:val="28"/>
          <w:shd w:fill="auto" w:val="clear"/>
        </w:rPr>
        <w:t xml:space="preserve">Предметные результаты</w:t>
      </w:r>
    </w:p>
    <w:p>
      <w:pPr>
        <w:spacing w:before="0" w:after="0" w:line="240"/>
        <w:ind w:right="0" w:left="0" w:firstLine="708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Предметные результаты сформулированы по годам обучения на основе модульного построения содержания в соответствии с Приложением </w:t>
      </w:r>
      <w:r>
        <w:rPr>
          <w:rFonts w:ascii="Segoe UI Symbol" w:hAnsi="Segoe UI Symbol" w:cs="Segoe UI Symbol" w:eastAsia="Segoe UI Symbol"/>
          <w:color w:val="000000"/>
          <w:spacing w:val="0"/>
          <w:position w:val="0"/>
          <w:sz w:val="28"/>
          <w:shd w:fill="FFFFFF" w:val="clear"/>
        </w:rPr>
        <w:t xml:space="preserve">№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8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>
      <w:pPr>
        <w:spacing w:before="240" w:after="120" w:line="240"/>
        <w:ind w:right="0" w:left="0" w:firstLine="0"/>
        <w:jc w:val="center"/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  <w:t xml:space="preserve">1 </w:t>
      </w:r>
      <w:r>
        <w:rPr>
          <w:rFonts w:ascii="Times New Roman" w:hAnsi="Times New Roman" w:cs="Times New Roman" w:eastAsia="Times New Roman"/>
          <w:b/>
          <w:caps w:val="true"/>
          <w:color w:val="000000"/>
          <w:spacing w:val="0"/>
          <w:position w:val="0"/>
          <w:sz w:val="28"/>
          <w:shd w:fill="FFFFFF" w:val="clear"/>
        </w:rPr>
        <w:t xml:space="preserve">КЛАСС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Графика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навыки применения свойств простых графических материалов в самостоятельной творческой работе в условиях урока.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первичный опыт в создании графического рисунка на основе знакомства со средствами изобразительного языка.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создания рисунка простого (плоского) предмета с натуры.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Учиться анализировать соотношения пропорций, визуально сравнивать пространственные величины.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первичные знания и навыки композиционного расположения изображения на листе.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Уметь выбирать вертикальный или горизонтальный формат листа для выполнения соответствующих задач рисунка.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Воспринимать учебную задачу, поставленную учителем, и решать её в своей практической художественной деятельности.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Живопись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навыки работы красками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гуашь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»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 условиях урока.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Знать три основных цвета; обсуждать и называть ассоциативные представления, которые рождает каждый цвет.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Осознавать эмоциональное звучание цвета и уметь формулировать своё мнение с опорой на опыт жизненных ассоциаций.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экспериментирования, исследования результатов смешения красок и получения нового цвета.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Вести творческую работу на заданную тему с опорой на зрительные впечатления, организованные педагогом.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Скульптура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первичные приёмы лепки из пластилина, приобретать представления о целостной форме в объёмном изображении.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Овладевать первичными навыками бумагопластики 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—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 </w:t>
      </w: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создания объёмных форм из бумаги путём её складывания, надрезания, закручивания и др.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Декоративно-прикладное искусство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Различать виды орнаментов по изобразительным мотивам: растительные, геометрические, анималистические.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Учиться использовать правила симметрии в своей художественной деятельности.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создания орнаментальной декоративной композиции (стилизованной: декоративный цветок или птица).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знания о значении и назначении украшений в жизни людей.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Иметь опыт и соответствующие возрасту навыки подготовки и оформления общего праздника.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Архитектура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приёмы конструирования из бумаги, складывания объёмных простых геометрических тел.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пространственного макетирования (сказочный город) в форме коллективной игровой деятельности.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представления о конструктивной основе любого предмета и первичные навыки анализа его строения.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Восприятие произведений искусства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опыт эстетического восприятия и аналитического наблюдения архитектурных построек.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 ярко выраженным эмоциональным настроением (например, натюрморты В. Ван Гога или А. Матисса).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Осваивать новый опыт восприятия художественных иллюстраций в детских книгах и отношения к ним в соответствии с учебной установкой.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Модуль 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«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Азбука цифровой графики</w:t>
      </w: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»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создания фотографий с целью эстетического и целенаправленного наблюдения природы.</w:t>
      </w:r>
    </w:p>
    <w:p>
      <w:pPr>
        <w:spacing w:before="0" w:after="0" w:line="240"/>
        <w:ind w:right="0" w:left="0" w:firstLine="227"/>
        <w:jc w:val="both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  <w:t xml:space="preserve"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color w:val="000000"/>
          <w:spacing w:val="0"/>
          <w:position w:val="0"/>
          <w:sz w:val="28"/>
          <w:shd w:fill="FFFFFF" w:val="clear"/>
        </w:rPr>
      </w:pPr>
    </w:p>
    <w:p>
      <w:pPr>
        <w:spacing w:before="0" w:after="0" w:line="240"/>
        <w:ind w:right="0" w:left="0" w:firstLine="227"/>
        <w:jc w:val="center"/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</w:pPr>
      <w:r>
        <w:rPr>
          <w:rFonts w:ascii="Times New Roman" w:hAnsi="Times New Roman" w:cs="Times New Roman" w:eastAsia="Times New Roman"/>
          <w:b/>
          <w:color w:val="000000"/>
          <w:spacing w:val="0"/>
          <w:position w:val="0"/>
          <w:sz w:val="28"/>
          <w:shd w:fill="FFFFFF" w:val="clear"/>
        </w:rPr>
        <w:t xml:space="preserve">ТЕМАТИЧЕСКОЕ ПЛАНИРОВАНИЕ</w:t>
      </w:r>
    </w:p>
    <w:p>
      <w:pPr>
        <w:spacing w:before="0" w:after="0" w:line="240"/>
        <w:ind w:right="515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p>
      <w:pPr>
        <w:spacing w:before="0" w:after="0" w:line="240"/>
        <w:ind w:right="515" w:left="4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1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  <w:t xml:space="preserve">класс</w:t>
      </w:r>
    </w:p>
    <w:p>
      <w:pPr>
        <w:spacing w:before="0" w:after="0" w:line="240"/>
        <w:ind w:right="515" w:left="4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515" w:left="4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tbl>
      <w:tblPr/>
      <w:tblGrid>
        <w:gridCol w:w="688"/>
        <w:gridCol w:w="4274"/>
        <w:gridCol w:w="851"/>
        <w:gridCol w:w="1559"/>
        <w:gridCol w:w="1701"/>
        <w:gridCol w:w="5860"/>
      </w:tblGrid>
      <w:tr>
        <w:trPr>
          <w:trHeight w:val="144" w:hRule="auto"/>
          <w:jc w:val="left"/>
        </w:trPr>
        <w:tc>
          <w:tcPr>
            <w:tcW w:w="688" w:type="dxa"/>
            <w:vMerge w:val="restart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Segoe UI Symbol" w:hAnsi="Segoe UI Symbol" w:cs="Segoe UI Symbol" w:eastAsia="Segoe UI Symbol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№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п/п 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274" w:type="dxa"/>
            <w:vMerge w:val="restart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Наименование разделов и тем программы 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4111" w:type="dxa"/>
            <w:gridSpan w:val="3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Количество часов</w:t>
            </w:r>
          </w:p>
        </w:tc>
        <w:tc>
          <w:tcPr>
            <w:tcW w:w="5860" w:type="dxa"/>
            <w:vMerge w:val="restart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24"/>
                <w:shd w:fill="auto" w:val="clear"/>
              </w:rPr>
              <w:t xml:space="preserve">Электронные (цифровые) образовательные ресурсы </w:t>
            </w:r>
          </w:p>
        </w:tc>
      </w:tr>
      <w:tr>
        <w:trPr>
          <w:trHeight w:val="144" w:hRule="auto"/>
          <w:jc w:val="left"/>
        </w:trPr>
        <w:tc>
          <w:tcPr>
            <w:tcW w:w="688" w:type="dxa"/>
            <w:vMerge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4274" w:type="dxa"/>
            <w:vMerge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Всего 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Контрольные работы 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1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000000"/>
                <w:spacing w:val="0"/>
                <w:position w:val="0"/>
                <w:sz w:val="18"/>
                <w:shd w:fill="auto" w:val="clear"/>
              </w:rPr>
              <w:t xml:space="preserve">Практические работы 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</w:p>
        </w:tc>
        <w:tc>
          <w:tcPr>
            <w:tcW w:w="5860" w:type="dxa"/>
            <w:vMerge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top"/>
          </w:tcPr>
          <w:p>
            <w:pPr>
              <w:spacing w:before="0" w:after="200" w:line="276"/>
              <w:ind w:right="0" w:left="0" w:firstLine="0"/>
              <w:jc w:val="left"/>
              <w:rPr>
                <w:spacing w:val="0"/>
                <w:position w:val="0"/>
              </w:rPr>
            </w:pPr>
          </w:p>
        </w:tc>
      </w:tr>
      <w:tr>
        <w:trPr>
          <w:trHeight w:val="144" w:hRule="auto"/>
          <w:jc w:val="left"/>
        </w:trPr>
        <w:tc>
          <w:tcPr>
            <w:tcW w:w="688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4274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1. Восприятие произведений искусства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100" w:after="10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181818"/>
                <w:spacing w:val="0"/>
                <w:position w:val="0"/>
                <w:sz w:val="24"/>
                <w:shd w:fill="FFFFFF" w:val="clear"/>
              </w:rPr>
              <w:t xml:space="preserve"> </w:t>
            </w:r>
            <w:hyperlink xmlns:r="http://schemas.openxmlformats.org/officeDocument/2006/relationships" r:id="docRId0">
              <w:r>
                <w:rPr>
                  <w:rFonts w:ascii="Times New Roman" w:hAnsi="Times New Roman" w:cs="Times New Roman" w:eastAsia="Times New Roman"/>
                  <w:color w:val="267F8C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http://school-collektion.edu/ru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88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4274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2. Графика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6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  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100" w:after="10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181818"/>
                <w:spacing w:val="0"/>
                <w:position w:val="0"/>
                <w:sz w:val="24"/>
                <w:shd w:fill="FFFFFF" w:val="clear"/>
              </w:rPr>
              <w:t xml:space="preserve"> </w:t>
            </w:r>
            <w:hyperlink xmlns:r="http://schemas.openxmlformats.org/officeDocument/2006/relationships" r:id="docRId1">
              <w:r>
                <w:rPr>
                  <w:rFonts w:ascii="Times New Roman" w:hAnsi="Times New Roman" w:cs="Times New Roman" w:eastAsia="Times New Roman"/>
                  <w:color w:val="267F8C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http://school-collektion.edu/ru</w:t>
              </w:r>
            </w:hyperlink>
          </w:p>
        </w:tc>
      </w:tr>
      <w:tr>
        <w:trPr>
          <w:trHeight w:val="255" w:hRule="auto"/>
          <w:jc w:val="left"/>
        </w:trPr>
        <w:tc>
          <w:tcPr>
            <w:tcW w:w="688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4274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3. Живопись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0 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100" w:after="10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2">
              <w:r>
                <w:rPr>
                  <w:rFonts w:ascii="Times New Roman" w:hAnsi="Times New Roman" w:cs="Times New Roman" w:eastAsia="Times New Roman"/>
                  <w:color w:val="267F8C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http://school-collektion.edu/r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88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4274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4. Скульптура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5 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100" w:after="100" w:line="240"/>
              <w:ind w:right="0" w:left="0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181818"/>
                <w:spacing w:val="0"/>
                <w:position w:val="0"/>
                <w:sz w:val="24"/>
                <w:shd w:fill="FFFFFF" w:val="clear"/>
              </w:rPr>
              <w:t xml:space="preserve"> </w:t>
            </w:r>
            <w:hyperlink xmlns:r="http://schemas.openxmlformats.org/officeDocument/2006/relationships" r:id="docRId3">
              <w:r>
                <w:rPr>
                  <w:rFonts w:ascii="Times New Roman" w:hAnsi="Times New Roman" w:cs="Times New Roman" w:eastAsia="Times New Roman"/>
                  <w:color w:val="267F8C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http://school-collektion.edu/ru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688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</w:rPr>
            </w:pPr>
          </w:p>
        </w:tc>
        <w:tc>
          <w:tcPr>
            <w:tcW w:w="4274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5. Декоративно-прикладное искусство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6. Архитектура </w:t>
            </w:r>
          </w:p>
          <w:p>
            <w:pPr>
              <w:spacing w:before="0" w:after="0" w:line="240"/>
              <w:ind w:right="0" w:left="135" w:firstLine="0"/>
              <w:jc w:val="left"/>
              <w:rPr>
                <w:color w:val="auto"/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Модуль 7. Восприятие произведений искусства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  <w:p>
            <w:pPr>
              <w:spacing w:before="0" w:after="0" w:line="240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  <w:p>
            <w:pPr>
              <w:spacing w:before="0" w:after="0" w:line="240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  <w:p>
            <w:pPr>
              <w:spacing w:before="0" w:after="0" w:line="240"/>
              <w:ind w:right="0" w:left="135" w:firstLine="0"/>
              <w:jc w:val="center"/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100" w:after="100" w:line="240"/>
              <w:ind w:right="0" w:left="0" w:firstLine="0"/>
              <w:jc w:val="left"/>
              <w:rPr>
                <w:spacing w:val="0"/>
                <w:position w:val="0"/>
              </w:rPr>
            </w:pPr>
            <w:hyperlink xmlns:r="http://schemas.openxmlformats.org/officeDocument/2006/relationships" r:id="docRId4">
              <w:r>
                <w:rPr>
                  <w:rFonts w:ascii="Times New Roman" w:hAnsi="Times New Roman" w:cs="Times New Roman" w:eastAsia="Times New Roman"/>
                  <w:color w:val="267F8C"/>
                  <w:spacing w:val="0"/>
                  <w:position w:val="0"/>
                  <w:sz w:val="24"/>
                  <w:u w:val="single"/>
                  <w:shd w:fill="FFFFFF" w:val="clear"/>
                </w:rPr>
                <w:t xml:space="preserve">http://school-collektion.edu/ru</w:t>
              </w:r>
            </w:hyperlink>
          </w:p>
        </w:tc>
      </w:tr>
      <w:tr>
        <w:trPr>
          <w:trHeight w:val="144" w:hRule="auto"/>
          <w:jc w:val="left"/>
        </w:trPr>
        <w:tc>
          <w:tcPr>
            <w:tcW w:w="4962" w:type="dxa"/>
            <w:gridSpan w:val="2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left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0"/>
                <w:shd w:fill="auto" w:val="clear"/>
              </w:rPr>
              <w:t xml:space="preserve">ОБЩЕЕ КОЛИЧЕСТВО ЧАСОВ ПО ПРОГРАММЕ</w:t>
            </w:r>
          </w:p>
        </w:tc>
        <w:tc>
          <w:tcPr>
            <w:tcW w:w="85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34 </w:t>
            </w:r>
          </w:p>
        </w:tc>
        <w:tc>
          <w:tcPr>
            <w:tcW w:w="1559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0 </w:t>
            </w:r>
          </w:p>
        </w:tc>
        <w:tc>
          <w:tcPr>
            <w:tcW w:w="1701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0" w:line="240"/>
              <w:ind w:right="0" w:left="135" w:firstLine="0"/>
              <w:jc w:val="center"/>
              <w:rPr>
                <w:spacing w:val="0"/>
                <w:position w:val="0"/>
              </w:rPr>
            </w:pPr>
            <w:r>
              <w:rPr>
                <w:rFonts w:ascii="Times New Roman" w:hAnsi="Times New Roman" w:cs="Times New Roman" w:eastAsia="Times New Roman"/>
                <w:color w:val="000000"/>
                <w:spacing w:val="0"/>
                <w:position w:val="0"/>
                <w:sz w:val="24"/>
                <w:shd w:fill="auto" w:val="clear"/>
              </w:rPr>
              <w:t xml:space="preserve">  0</w:t>
            </w:r>
          </w:p>
        </w:tc>
        <w:tc>
          <w:tcPr>
            <w:tcW w:w="5860" w:type="dxa"/>
            <w:tcBorders>
              <w:top w:val="single" w:color="836967" w:sz="0"/>
              <w:left w:val="single" w:color="836967" w:sz="0"/>
              <w:bottom w:val="single" w:color="836967" w:sz="0"/>
              <w:right w:val="single" w:color="836967" w:sz="0"/>
            </w:tcBorders>
            <w:shd w:color="000000" w:fill="ffffff" w:val="clear"/>
            <w:tcMar>
              <w:left w:w="50" w:type="dxa"/>
              <w:right w:w="50" w:type="dxa"/>
            </w:tcMar>
            <w:vAlign w:val="center"/>
          </w:tcPr>
          <w:p>
            <w:pPr>
              <w:spacing w:before="0" w:after="20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</w:tbl>
    <w:p>
      <w:pPr>
        <w:spacing w:before="0" w:after="0" w:line="240"/>
        <w:ind w:right="515" w:left="460" w:firstLine="0"/>
        <w:jc w:val="center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36"/>
          <w:shd w:fill="auto" w:val="clear"/>
        </w:rPr>
      </w:pPr>
    </w:p>
    <w:p>
      <w:pPr>
        <w:spacing w:before="0" w:after="0" w:line="240"/>
        <w:ind w:right="515" w:left="460" w:firstLine="0"/>
        <w:jc w:val="center"/>
        <w:rPr>
          <w:rFonts w:ascii="Calibri" w:hAnsi="Calibri" w:cs="Calibri" w:eastAsia="Calibri"/>
          <w:b/>
          <w:color w:val="auto"/>
          <w:spacing w:val="0"/>
          <w:position w:val="0"/>
          <w:sz w:val="28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0">
    <w:lvl w:ilvl="0">
      <w:start w:val="1"/>
      <w:numFmt w:val="bullet"/>
      <w:lvlText w:val="•"/>
    </w:lvl>
  </w:abstractNum>
  <w:abstractNum w:abstractNumId="6">
    <w:lvl w:ilvl="0">
      <w:start w:val="1"/>
      <w:numFmt w:val="bullet"/>
      <w:lvlText w:val="•"/>
    </w:lvl>
  </w:abstractNum>
  <w:abstractNum w:abstractNumId="12">
    <w:lvl w:ilvl="0">
      <w:start w:val="1"/>
      <w:numFmt w:val="bullet"/>
      <w:lvlText w:val="•"/>
    </w:lvl>
  </w:abstractNum>
  <w:abstractNum w:abstractNumId="18">
    <w:lvl w:ilvl="0">
      <w:start w:val="1"/>
      <w:numFmt w:val="bullet"/>
      <w:lvlText w:val="•"/>
    </w:lvl>
  </w:abstractNum>
  <w:abstractNum w:abstractNumId="24">
    <w:lvl w:ilvl="0">
      <w:start w:val="1"/>
      <w:numFmt w:val="bullet"/>
      <w:lvlText w:val="•"/>
    </w:lvl>
  </w:abstractNum>
  <w:abstractNum w:abstractNumId="30">
    <w:lvl w:ilvl="0">
      <w:start w:val="1"/>
      <w:numFmt w:val="bullet"/>
      <w:lvlText w:val="•"/>
    </w:lvl>
  </w:abstractNum>
  <w:num w:numId="59">
    <w:abstractNumId w:val="30"/>
  </w:num>
  <w:num w:numId="61">
    <w:abstractNumId w:val="24"/>
  </w:num>
  <w:num w:numId="63">
    <w:abstractNumId w:val="18"/>
  </w:num>
  <w:num w:numId="65">
    <w:abstractNumId w:val="12"/>
  </w:num>
  <w:num w:numId="67">
    <w:abstractNumId w:val="6"/>
  </w:num>
  <w:num w:numId="69">
    <w:abstractNumId w:val="0"/>
  </w:num>
</w:numbering>
</file>

<file path=word/styles.xml><?xml version="1.0" encoding="utf-8"?>
<w:styles xmlns:w="http://schemas.openxmlformats.org/wordprocessingml/2006/main"/>
</file>

<file path=word/_rels/document.xml.rels><?xml version="1.0" encoding="UTF-8"?><Relationships xmlns="http://schemas.openxmlformats.org/package/2006/relationships"><Relationship TargetMode="External" Target="http://infourok.ru/go.html?href=http%3A%2F%2Fschool-collektion.edu%2Fru" Id="docRId1" Type="http://schemas.openxmlformats.org/officeDocument/2006/relationships/hyperlink" /><Relationship TargetMode="External" Target="http://infourok.ru/go.html?href=http%3A%2F%2Fschool-collektion.edu%2Fru" Id="docRId3" Type="http://schemas.openxmlformats.org/officeDocument/2006/relationships/hyperlink" /><Relationship Target="numbering.xml" Id="docRId5" Type="http://schemas.openxmlformats.org/officeDocument/2006/relationships/numbering" /><Relationship TargetMode="External" Target="http://infourok.ru/go.html?href=http%3A%2F%2Fschool-collektion.edu%2Fru" Id="docRId0" Type="http://schemas.openxmlformats.org/officeDocument/2006/relationships/hyperlink" /><Relationship TargetMode="External" Target="http://infourok.ru/go.html?href=http%3A%2F%2Fschool-collektion.edu%2Fru" Id="docRId2" Type="http://schemas.openxmlformats.org/officeDocument/2006/relationships/hyperlink" /><Relationship TargetMode="External" Target="http://infourok.ru/go.html?href=http%3A%2F%2Fschool-collektion.edu%2Fru" Id="docRId4" Type="http://schemas.openxmlformats.org/officeDocument/2006/relationships/hyperlink" /><Relationship Target="styles.xml" Id="docRId6" Type="http://schemas.openxmlformats.org/officeDocument/2006/relationships/styles" /></Relationships>
</file>